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7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П</w:t>
      </w:r>
      <w:r>
        <w:rPr>
          <w:rFonts w:ascii="Times New Roman" w:hAnsi="Times New Roman"/>
          <w:b/>
          <w:szCs w:val="24"/>
          <w:lang w:val="ru-RU"/>
        </w:rPr>
        <w:t xml:space="preserve">ОЯСНИТЕЛЬНАЯ  ЗАПИСКА</w:t>
      </w:r>
      <w:r/>
    </w:p>
    <w:p>
      <w:pPr>
        <w:pStyle w:val="5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отчету об исполнении  бюджета </w:t>
      </w:r>
      <w:r>
        <w:rPr>
          <w:rFonts w:ascii="Times New Roman" w:hAnsi="Times New Roman"/>
          <w:szCs w:val="24"/>
        </w:rPr>
        <w:t xml:space="preserve">Элисенваарского  сельского поселения</w:t>
      </w:r>
      <w:r>
        <w:rPr>
          <w:rFonts w:ascii="Times New Roman" w:hAnsi="Times New Roman"/>
          <w:szCs w:val="24"/>
        </w:rPr>
        <w:t xml:space="preserve"> </w:t>
      </w:r>
      <w:r/>
    </w:p>
    <w:p>
      <w:pPr>
        <w:pStyle w:val="584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за </w:t>
      </w:r>
      <w:r>
        <w:rPr>
          <w:rFonts w:ascii="Times New Roman" w:hAnsi="Times New Roman"/>
          <w:szCs w:val="24"/>
          <w:u w:val="single"/>
        </w:rPr>
        <w:t xml:space="preserve">2024</w:t>
      </w:r>
      <w:r>
        <w:rPr>
          <w:rFonts w:ascii="Times New Roman" w:hAnsi="Times New Roman"/>
          <w:szCs w:val="24"/>
          <w:u w:val="single"/>
        </w:rPr>
        <w:t xml:space="preserve"> </w:t>
      </w:r>
      <w:r>
        <w:rPr>
          <w:rFonts w:ascii="Times New Roman" w:hAnsi="Times New Roman"/>
          <w:szCs w:val="24"/>
          <w:u w:val="single"/>
        </w:rPr>
        <w:t xml:space="preserve">год</w:t>
      </w:r>
      <w:r/>
    </w:p>
    <w:p>
      <w:pPr>
        <w:pStyle w:val="576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84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Исполнение бюджета </w:t>
      </w:r>
      <w:r>
        <w:rPr>
          <w:rFonts w:ascii="Times New Roman" w:hAnsi="Times New Roman"/>
          <w:szCs w:val="24"/>
        </w:rPr>
        <w:t xml:space="preserve">Элисенваарского сельского поселения</w:t>
      </w:r>
      <w:r>
        <w:rPr>
          <w:rFonts w:ascii="Times New Roman" w:hAnsi="Times New Roman"/>
          <w:szCs w:val="24"/>
        </w:rPr>
        <w:t xml:space="preserve"> в </w:t>
      </w:r>
      <w:r>
        <w:rPr>
          <w:rFonts w:ascii="Times New Roman" w:hAnsi="Times New Roman"/>
          <w:szCs w:val="24"/>
        </w:rPr>
        <w:t xml:space="preserve">2024</w:t>
      </w:r>
      <w:r>
        <w:rPr>
          <w:rFonts w:ascii="Times New Roman" w:hAnsi="Times New Roman"/>
          <w:szCs w:val="24"/>
        </w:rPr>
        <w:t xml:space="preserve"> году осуществлялось в соответствии с требованиями Бюджетного Кодекса Российской Федерации, </w:t>
      </w:r>
      <w:r>
        <w:rPr>
          <w:rFonts w:ascii="Times New Roman" w:hAnsi="Times New Roman"/>
          <w:szCs w:val="24"/>
        </w:rPr>
        <w:t xml:space="preserve">действующим федеральным законодательством, нормативными правовыми актами Республики Карелия и решениями  Совета </w:t>
      </w:r>
      <w:r>
        <w:rPr>
          <w:rFonts w:ascii="Times New Roman" w:hAnsi="Times New Roman"/>
          <w:szCs w:val="24"/>
        </w:rPr>
        <w:t xml:space="preserve">Элисенваарского сельского поселения.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</w:r>
      <w:r/>
    </w:p>
    <w:p>
      <w:pPr>
        <w:pStyle w:val="584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/>
    </w:p>
    <w:p>
      <w:pPr>
        <w:pStyle w:val="584"/>
        <w:ind w:firstLine="720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 поселения 2024</w:t>
      </w:r>
      <w:r>
        <w:rPr>
          <w:rFonts w:ascii="Times New Roman" w:hAnsi="Times New Roman"/>
        </w:rPr>
        <w:t xml:space="preserve"> года сформирован и исполнен с</w:t>
      </w:r>
      <w:r>
        <w:rPr>
          <w:rFonts w:ascii="Times New Roman" w:hAnsi="Times New Roman"/>
        </w:rPr>
        <w:t xml:space="preserve"> учетом </w:t>
      </w:r>
      <w:r>
        <w:rPr>
          <w:rFonts w:ascii="Times New Roman" w:hAnsi="Times New Roman"/>
        </w:rPr>
        <w:t xml:space="preserve">действия норм, регулирующих бюджетное и налоговое законодательство, а так же с учетом правовых актов органов местного самоуправления Элисенваарского сельского поселения, принятых в области организации бюджетного процесса.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части формирования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подготовлены, внесены на рассмотрение в Совет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 утверждены следующие решения: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9/30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28</w:t>
      </w:r>
      <w:r>
        <w:rPr>
          <w:sz w:val="24"/>
          <w:szCs w:val="24"/>
        </w:rPr>
        <w:t xml:space="preserve">.12.2023</w:t>
      </w:r>
      <w:r>
        <w:rPr>
          <w:sz w:val="24"/>
          <w:szCs w:val="24"/>
        </w:rPr>
        <w:t xml:space="preserve"> г. «О бюджете Элисенваарского сельского поселения на 2024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10</w:t>
      </w:r>
      <w:r>
        <w:rPr>
          <w:sz w:val="24"/>
          <w:szCs w:val="24"/>
        </w:rPr>
        <w:t xml:space="preserve">/36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от 01</w:t>
      </w:r>
      <w:r>
        <w:rPr>
          <w:sz w:val="24"/>
          <w:szCs w:val="24"/>
        </w:rPr>
        <w:t xml:space="preserve">.04.2024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lang w:val="en-US"/>
        </w:rPr>
        <w:t xml:space="preserve">I</w:t>
      </w:r>
      <w:r>
        <w:rPr>
          <w:lang w:val="ru-RU"/>
        </w:rPr>
        <w:t xml:space="preserve">Х</w:t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28</w:t>
      </w:r>
      <w:r>
        <w:rPr>
          <w:sz w:val="24"/>
          <w:szCs w:val="24"/>
        </w:rPr>
        <w:t xml:space="preserve">.12.2023</w:t>
      </w:r>
      <w:r>
        <w:rPr>
          <w:sz w:val="24"/>
          <w:szCs w:val="24"/>
        </w:rPr>
        <w:t xml:space="preserve"> года № 9 /30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«О бюджете Элисенваарского сельского поселения на 2024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11</w:t>
      </w:r>
      <w:r>
        <w:rPr>
          <w:sz w:val="24"/>
          <w:szCs w:val="24"/>
        </w:rPr>
        <w:t xml:space="preserve">/45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23</w:t>
      </w:r>
      <w:r>
        <w:rPr>
          <w:sz w:val="24"/>
          <w:szCs w:val="24"/>
        </w:rPr>
        <w:t xml:space="preserve">.09</w:t>
      </w:r>
      <w:r>
        <w:rPr>
          <w:sz w:val="24"/>
          <w:szCs w:val="24"/>
        </w:rPr>
        <w:t xml:space="preserve">.2024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lang w:val="en-US"/>
        </w:rPr>
        <w:t xml:space="preserve">I</w:t>
      </w:r>
      <w:r>
        <w:rPr>
          <w:lang w:val="ru-RU"/>
        </w:rPr>
        <w:t xml:space="preserve">Х</w:t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28</w:t>
      </w:r>
      <w:r>
        <w:rPr>
          <w:sz w:val="24"/>
          <w:szCs w:val="24"/>
        </w:rPr>
        <w:t xml:space="preserve">.12.2023</w:t>
      </w:r>
      <w:r>
        <w:rPr>
          <w:sz w:val="24"/>
          <w:szCs w:val="24"/>
        </w:rPr>
        <w:t xml:space="preserve"> года № 9 </w:t>
      </w:r>
      <w:r>
        <w:rPr>
          <w:sz w:val="24"/>
          <w:szCs w:val="24"/>
        </w:rPr>
        <w:t xml:space="preserve">/30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«О бюджете Элисенваарского сельского поселения на 2024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№ 13</w:t>
      </w:r>
      <w:r>
        <w:rPr>
          <w:sz w:val="24"/>
          <w:szCs w:val="24"/>
        </w:rPr>
        <w:t xml:space="preserve">/52</w:t>
      </w:r>
      <w:r>
        <w:rPr>
          <w:sz w:val="24"/>
          <w:szCs w:val="24"/>
        </w:rPr>
        <w:t xml:space="preserve">-5 от 27</w:t>
      </w:r>
      <w:r>
        <w:rPr>
          <w:sz w:val="24"/>
          <w:szCs w:val="24"/>
        </w:rPr>
        <w:t xml:space="preserve">.12</w:t>
      </w:r>
      <w:r>
        <w:rPr>
          <w:sz w:val="24"/>
          <w:szCs w:val="24"/>
        </w:rPr>
        <w:t xml:space="preserve">.2024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lang w:val="en-US"/>
        </w:rPr>
        <w:t xml:space="preserve">I</w:t>
      </w:r>
      <w:r>
        <w:rPr>
          <w:lang w:val="ru-RU"/>
        </w:rPr>
        <w:t xml:space="preserve">Х</w:t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28</w:t>
      </w:r>
      <w:r>
        <w:rPr>
          <w:sz w:val="24"/>
          <w:szCs w:val="24"/>
        </w:rPr>
        <w:t xml:space="preserve">.12.2023</w:t>
      </w:r>
      <w:r>
        <w:rPr>
          <w:sz w:val="24"/>
          <w:szCs w:val="24"/>
        </w:rPr>
        <w:t xml:space="preserve"> года № 9/30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«О бюджете Элисенваарского сельского поселения на 2024</w:t>
      </w:r>
      <w:r>
        <w:rPr>
          <w:sz w:val="24"/>
          <w:szCs w:val="24"/>
        </w:rPr>
        <w:t xml:space="preserve"> год».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Учитывая задачи в области исполнения бюджета, </w:t>
      </w:r>
      <w:r>
        <w:rPr>
          <w:sz w:val="24"/>
          <w:szCs w:val="24"/>
        </w:rPr>
        <w:t xml:space="preserve">основными направлениями бюджетной политики Администрации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ходе исполнения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году явились: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обеспечение исполнения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действующего </w:t>
      </w:r>
      <w:r>
        <w:rPr>
          <w:sz w:val="24"/>
          <w:szCs w:val="24"/>
        </w:rPr>
        <w:t xml:space="preserve">в отчетном финансовом году </w:t>
      </w:r>
      <w:r>
        <w:rPr>
          <w:sz w:val="24"/>
          <w:szCs w:val="24"/>
        </w:rPr>
        <w:t xml:space="preserve">бюджетного и налогового законодательства;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контроль за соблюдением решения </w:t>
      </w:r>
      <w:r>
        <w:rPr>
          <w:sz w:val="24"/>
          <w:szCs w:val="24"/>
        </w:rPr>
        <w:t xml:space="preserve">Совета Элисенваарского сельского поселения </w:t>
      </w:r>
      <w:r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изыскание возможности получения бюджетом дополнительных доходов;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оптимальное р</w:t>
      </w:r>
      <w:r>
        <w:rPr>
          <w:sz w:val="24"/>
          <w:szCs w:val="24"/>
        </w:rPr>
        <w:t xml:space="preserve">аспределение бюджетных расходов.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итоге</w:t>
      </w:r>
      <w:r>
        <w:rPr>
          <w:sz w:val="24"/>
          <w:szCs w:val="24"/>
        </w:rPr>
        <w:t xml:space="preserve"> проводимой в перечисленных направлениях работы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сполнение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 характеризуется следующими данными:</w:t>
      </w:r>
      <w:r>
        <w:rPr>
          <w:sz w:val="24"/>
          <w:szCs w:val="24"/>
        </w:rPr>
      </w:r>
      <w:r/>
    </w:p>
    <w:p>
      <w:pPr>
        <w:pStyle w:val="576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numPr>
          <w:ilvl w:val="0"/>
          <w:numId w:val="7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ОСНОВНЫЕ ХАРАКТЕРИСТИКИ</w:t>
      </w:r>
      <w:r/>
    </w:p>
    <w:p>
      <w:pPr>
        <w:pStyle w:val="576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Основные характеристики бюджета Элисенваарского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исполнению за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 составляют:</w:t>
      </w:r>
      <w:r>
        <w:rPr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ind w:firstLine="567"/>
        <w:jc w:val="right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</w:r>
      <w:r>
        <w:rPr>
          <w:sz w:val="24"/>
          <w:szCs w:val="24"/>
        </w:rPr>
        <w:t xml:space="preserve">(т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уб</w:t>
      </w:r>
      <w:r>
        <w:rPr>
          <w:sz w:val="24"/>
          <w:szCs w:val="24"/>
        </w:rPr>
        <w:t xml:space="preserve">.)</w:t>
      </w:r>
      <w:r/>
    </w:p>
    <w:tbl>
      <w:tblPr>
        <w:tblW w:w="0" w:type="auto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535"/>
        <w:gridCol w:w="1474"/>
        <w:gridCol w:w="1495"/>
        <w:gridCol w:w="1252"/>
        <w:gridCol w:w="1353"/>
        <w:gridCol w:w="1353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Утверждено решением о бюджете на </w:t>
            </w:r>
            <w:r>
              <w:rPr>
                <w:b/>
              </w:rPr>
              <w:t xml:space="preserve">2024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Уточненный план на </w:t>
            </w:r>
            <w:r>
              <w:rPr>
                <w:b/>
              </w:rPr>
              <w:t xml:space="preserve">2024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Исполнено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Отклонение от уточненного плана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% исполнения уточненного плана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209,17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5</w:t>
            </w:r>
            <w:r>
              <w:rPr>
                <w:sz w:val="24"/>
                <w:szCs w:val="24"/>
              </w:rPr>
              <w:t xml:space="preserve"> 995,10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087,80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92,70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101,55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530,44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-6</w:t>
            </w:r>
            <w:r>
              <w:rPr>
                <w:sz w:val="24"/>
                <w:szCs w:val="24"/>
              </w:rPr>
              <w:t xml:space="preserve"> 077,82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-6 032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,65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ru-RU"/>
              </w:rPr>
              <w:t xml:space="preserve">45,17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99,</w:t>
            </w:r>
            <w:r>
              <w:rPr>
                <w:sz w:val="24"/>
                <w:szCs w:val="24"/>
              </w:rPr>
              <w:t xml:space="preserve">26</w:t>
            </w:r>
            <w:r>
              <w:rPr>
                <w:sz w:val="24"/>
                <w:szCs w:val="24"/>
                <w:lang w:val="en-US"/>
              </w:rPr>
            </w:r>
            <w:r/>
          </w:p>
        </w:tc>
      </w:tr>
      <w:tr>
        <w:trPr>
          <w:trHeight w:val="57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Дефицит (-),</w:t>
            </w:r>
            <w:r>
              <w:rPr>
                <w:sz w:val="24"/>
                <w:szCs w:val="24"/>
              </w:rPr>
              <w:t xml:space="preserve"> профицит (+)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-321,27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-82,72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55,15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</w:tr>
    </w:tbl>
    <w:p>
      <w:pPr>
        <w:pStyle w:val="58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5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ДОХОДЫ.</w:t>
      </w:r>
      <w:r/>
    </w:p>
    <w:p>
      <w:pPr>
        <w:pStyle w:val="5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доходной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части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сельского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087,80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101,55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уточнённым </w:t>
      </w:r>
      <w:r>
        <w:rPr>
          <w:sz w:val="24"/>
          <w:szCs w:val="24"/>
        </w:rPr>
        <w:t xml:space="preserve">прогнозным</w:t>
      </w:r>
      <w:r>
        <w:rPr>
          <w:sz w:val="24"/>
          <w:szCs w:val="24"/>
        </w:rPr>
        <w:t xml:space="preserve"> назначениям (</w:t>
      </w:r>
      <w:r>
        <w:rPr>
          <w:sz w:val="24"/>
          <w:szCs w:val="24"/>
        </w:rPr>
        <w:t xml:space="preserve">приложение 1 к пояснительной записке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Исполнение</w:t>
      </w:r>
      <w:r>
        <w:rPr>
          <w:sz w:val="24"/>
          <w:szCs w:val="24"/>
        </w:rPr>
        <w:t xml:space="preserve"> собственных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обеспечено</w:t>
      </w:r>
      <w:r>
        <w:rPr>
          <w:sz w:val="24"/>
          <w:szCs w:val="24"/>
        </w:rPr>
        <w:t xml:space="preserve"> на 3 456,62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 (102,76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уточнённому плану</w:t>
      </w:r>
      <w:r>
        <w:rPr>
          <w:sz w:val="24"/>
          <w:szCs w:val="24"/>
        </w:rPr>
        <w:t xml:space="preserve">), в том числе по налоговым доходам на 3 414,67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102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79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), по неналоговым доходам на 41,95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100</w:t>
      </w:r>
      <w:r>
        <w:rPr>
          <w:sz w:val="24"/>
          <w:szCs w:val="24"/>
        </w:rPr>
        <w:t xml:space="preserve">,00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году наблюдается </w:t>
      </w:r>
      <w:r>
        <w:rPr>
          <w:sz w:val="24"/>
          <w:szCs w:val="24"/>
        </w:rPr>
        <w:t xml:space="preserve">невыполнение (перевыполнение)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прогнозных</w:t>
      </w:r>
      <w:r>
        <w:rPr>
          <w:sz w:val="24"/>
          <w:szCs w:val="24"/>
        </w:rPr>
        <w:t xml:space="preserve"> назначений </w:t>
      </w:r>
      <w:r>
        <w:rPr>
          <w:sz w:val="24"/>
          <w:szCs w:val="24"/>
        </w:rPr>
        <w:t xml:space="preserve">по следующим </w:t>
      </w:r>
      <w:r>
        <w:rPr>
          <w:sz w:val="24"/>
          <w:szCs w:val="24"/>
        </w:rPr>
        <w:t xml:space="preserve">налоговым и неналоговым доходам</w:t>
      </w:r>
      <w:r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– 107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99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(при плане 827,99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 исполнено 894,13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имущество – 100</w:t>
      </w:r>
      <w:r>
        <w:rPr>
          <w:sz w:val="24"/>
          <w:szCs w:val="24"/>
        </w:rPr>
        <w:t xml:space="preserve">,28 процента</w:t>
      </w:r>
      <w:r>
        <w:rPr>
          <w:sz w:val="24"/>
          <w:szCs w:val="24"/>
        </w:rPr>
        <w:t xml:space="preserve"> (при плане 108,04</w:t>
      </w:r>
      <w:r>
        <w:rPr>
          <w:sz w:val="24"/>
          <w:szCs w:val="24"/>
        </w:rPr>
        <w:t xml:space="preserve"> тыс. рублей исполнено 108,30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земельный налог  - 96,26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 плане 1 336,27</w:t>
      </w:r>
      <w:r>
        <w:rPr>
          <w:sz w:val="24"/>
          <w:szCs w:val="24"/>
        </w:rPr>
        <w:t xml:space="preserve"> тыс. рублей исполнено 1 286,30</w:t>
      </w:r>
      <w:r>
        <w:rPr>
          <w:sz w:val="24"/>
          <w:szCs w:val="24"/>
        </w:rPr>
        <w:t xml:space="preserve"> тыс. рублей);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-акцизы по подакцизным товарам - 107,27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1 049</w:t>
      </w:r>
      <w:r>
        <w:rPr>
          <w:sz w:val="24"/>
          <w:szCs w:val="24"/>
        </w:rPr>
        <w:t xml:space="preserve">,67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1 125</w:t>
      </w:r>
      <w:r>
        <w:rPr>
          <w:sz w:val="24"/>
          <w:szCs w:val="24"/>
        </w:rPr>
        <w:t xml:space="preserve">,94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доходы от оказания платных услуг и компенсации затрат государства – 100,00 процентов (при плане 41,95 тыс. рублей исполнено 41,95 тыс. рублей).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Объём </w:t>
      </w:r>
      <w:r>
        <w:rPr>
          <w:sz w:val="24"/>
          <w:szCs w:val="24"/>
        </w:rPr>
        <w:t xml:space="preserve">безвозмездных поступлений </w:t>
      </w:r>
      <w:r>
        <w:rPr>
          <w:sz w:val="24"/>
          <w:szCs w:val="24"/>
        </w:rPr>
        <w:t xml:space="preserve">из бюджета </w:t>
      </w:r>
      <w:r>
        <w:rPr>
          <w:sz w:val="24"/>
          <w:szCs w:val="24"/>
        </w:rPr>
        <w:t xml:space="preserve">Лахденпохского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бюджету Элисенваарского сельского поселения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году составил </w:t>
      </w:r>
      <w:r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 631,18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2 631,18</w:t>
      </w:r>
      <w:r>
        <w:rPr>
          <w:sz w:val="24"/>
          <w:szCs w:val="24"/>
        </w:rPr>
        <w:t xml:space="preserve"> тыс. рублей)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100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плановым назначениям</w:t>
      </w:r>
      <w:r>
        <w:rPr>
          <w:sz w:val="24"/>
          <w:szCs w:val="24"/>
        </w:rPr>
        <w:t xml:space="preserve">, в том числе размер дотации</w:t>
      </w:r>
      <w:r>
        <w:rPr>
          <w:sz w:val="24"/>
          <w:szCs w:val="24"/>
        </w:rPr>
        <w:t xml:space="preserve"> на выравнивание бюджетной обеспеченности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году – 1 477</w:t>
      </w:r>
      <w:r>
        <w:rPr>
          <w:sz w:val="24"/>
          <w:szCs w:val="24"/>
        </w:rPr>
        <w:t xml:space="preserve"> тыс. рублей или 100 </w:t>
      </w:r>
      <w:r>
        <w:rPr>
          <w:sz w:val="24"/>
          <w:szCs w:val="24"/>
        </w:rPr>
        <w:t xml:space="preserve">процентов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утвержденных показателей</w:t>
      </w:r>
      <w:r>
        <w:rPr>
          <w:sz w:val="24"/>
          <w:szCs w:val="24"/>
        </w:rPr>
        <w:t xml:space="preserve"> (приложение 3 к пояснительной записке)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Возврат остатков субсидий, субвенций и иных межбюджетных трансфертов, имеющих целевое назначение, прошлых лет </w:t>
      </w:r>
      <w:r>
        <w:rPr>
          <w:sz w:val="24"/>
          <w:szCs w:val="24"/>
        </w:rPr>
        <w:t xml:space="preserve">отсутствует.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 xml:space="preserve">Администрирование доходов в 2024</w:t>
      </w:r>
      <w:r>
        <w:rPr>
          <w:sz w:val="24"/>
          <w:szCs w:val="24"/>
        </w:rPr>
        <w:t xml:space="preserve"> году осуществлялось 2</w:t>
      </w:r>
      <w:r>
        <w:rPr>
          <w:sz w:val="24"/>
          <w:szCs w:val="24"/>
        </w:rPr>
        <w:t xml:space="preserve"> главными администраторами доходов. Выполнение прогнозных показателей главными администраторами доходов бюджета Элисенваарского сельского поселения в разрезе видов (подвидов) доходов бюджета представлено в приложении 2 к пояснительной записке.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сполнение  плановых назначений</w:t>
      </w:r>
      <w:r>
        <w:rPr>
          <w:sz w:val="24"/>
          <w:szCs w:val="24"/>
        </w:rPr>
        <w:t xml:space="preserve">:</w:t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Администрация Элисенваарского сельского поселения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100</w:t>
      </w:r>
      <w:r>
        <w:rPr>
          <w:sz w:val="24"/>
          <w:szCs w:val="24"/>
        </w:rPr>
        <w:t xml:space="preserve">,00</w:t>
      </w:r>
      <w:r>
        <w:rPr>
          <w:sz w:val="24"/>
          <w:szCs w:val="24"/>
        </w:rPr>
        <w:t xml:space="preserve"> процентов;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Управления Федеральной налоговой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102,79</w:t>
      </w:r>
      <w:r>
        <w:rPr>
          <w:sz w:val="24"/>
          <w:szCs w:val="24"/>
        </w:rPr>
        <w:t xml:space="preserve"> процента.</w:t>
      </w:r>
      <w:r>
        <w:rPr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Объем собственных доходов поселения в структуре доходов бюджета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года составил </w:t>
      </w:r>
      <w:r>
        <w:rPr>
          <w:sz w:val="24"/>
          <w:szCs w:val="24"/>
        </w:rPr>
        <w:t xml:space="preserve">56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процен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. Объем финансовой помощи в структуре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составил </w:t>
      </w:r>
      <w:r>
        <w:rPr>
          <w:sz w:val="24"/>
          <w:szCs w:val="24"/>
        </w:rPr>
        <w:t xml:space="preserve">43</w:t>
      </w:r>
      <w:r>
        <w:rPr>
          <w:sz w:val="24"/>
          <w:szCs w:val="24"/>
        </w:rPr>
        <w:t xml:space="preserve">,2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Наибольший удельный вес в структуре </w:t>
      </w:r>
      <w:r>
        <w:rPr>
          <w:sz w:val="24"/>
          <w:szCs w:val="24"/>
        </w:rPr>
        <w:t xml:space="preserve">всех доходов бюджета Элисенваарского</w:t>
      </w:r>
      <w:r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 xml:space="preserve">занимают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безвозмездные поступления</w:t>
      </w:r>
      <w:r>
        <w:rPr>
          <w:sz w:val="24"/>
          <w:szCs w:val="24"/>
        </w:rPr>
        <w:t xml:space="preserve">, земельный налог,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налог на доходы физических лиц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доходы от </w:t>
      </w:r>
      <w:r>
        <w:rPr>
          <w:sz w:val="24"/>
          <w:szCs w:val="24"/>
        </w:rPr>
        <w:t xml:space="preserve">акцизов по подакцизным товарам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color w:val="FFFFFF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 сравнении с 2023</w:t>
      </w:r>
      <w:r>
        <w:rPr>
          <w:sz w:val="24"/>
          <w:szCs w:val="24"/>
        </w:rPr>
        <w:t xml:space="preserve"> годом наблюдается положительная</w:t>
      </w:r>
      <w:r>
        <w:rPr>
          <w:sz w:val="24"/>
          <w:szCs w:val="24"/>
        </w:rPr>
        <w:t xml:space="preserve"> динамика в поступлении доходов в бюджет поселения - </w:t>
      </w:r>
      <w:r>
        <w:rPr>
          <w:sz w:val="24"/>
          <w:szCs w:val="24"/>
        </w:rPr>
        <w:t xml:space="preserve">собственные доходы увеличились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537</w:t>
      </w:r>
      <w:r>
        <w:rPr>
          <w:color w:val="000000"/>
          <w:sz w:val="24"/>
          <w:szCs w:val="24"/>
        </w:rPr>
        <w:t xml:space="preserve"> тыс. руб.</w:t>
      </w:r>
      <w:r>
        <w:rPr>
          <w:color w:val="000000"/>
          <w:sz w:val="24"/>
          <w:szCs w:val="24"/>
        </w:rPr>
        <w:t xml:space="preserve"> или </w:t>
      </w:r>
      <w:r>
        <w:rPr>
          <w:color w:val="000000"/>
          <w:sz w:val="24"/>
          <w:szCs w:val="24"/>
        </w:rPr>
        <w:t xml:space="preserve">18</w:t>
      </w:r>
      <w:r>
        <w:rPr>
          <w:color w:val="000000"/>
          <w:sz w:val="24"/>
          <w:szCs w:val="24"/>
        </w:rPr>
        <w:t xml:space="preserve"> процентов</w:t>
      </w:r>
      <w:r>
        <w:rPr>
          <w:color w:val="000000"/>
          <w:sz w:val="24"/>
          <w:szCs w:val="24"/>
        </w:rPr>
        <w:t xml:space="preserve"> (приложение 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 к пояснительной записке).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группе налоговых доходов увеличение</w:t>
      </w:r>
      <w:r>
        <w:rPr>
          <w:sz w:val="24"/>
          <w:szCs w:val="24"/>
        </w:rPr>
        <w:t xml:space="preserve"> платежей к уровню 2023</w:t>
      </w:r>
      <w:r>
        <w:rPr>
          <w:sz w:val="24"/>
          <w:szCs w:val="24"/>
        </w:rPr>
        <w:t xml:space="preserve"> года составляет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или 562</w:t>
      </w:r>
      <w:r>
        <w:rPr>
          <w:sz w:val="24"/>
          <w:szCs w:val="24"/>
        </w:rPr>
        <w:t xml:space="preserve"> тыс. рублей, в том числе: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увеличился на 24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или 171</w:t>
      </w:r>
      <w:r>
        <w:rPr>
          <w:sz w:val="24"/>
          <w:szCs w:val="24"/>
        </w:rPr>
        <w:t xml:space="preserve"> тыс. рублей. </w:t>
      </w:r>
      <w:r>
        <w:rPr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уплаты акцизов на нефтепродукты увеличи</w:t>
      </w:r>
      <w:r>
        <w:rPr>
          <w:sz w:val="24"/>
          <w:szCs w:val="24"/>
        </w:rPr>
        <w:t xml:space="preserve">лс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 или </w:t>
      </w:r>
      <w:r>
        <w:rPr>
          <w:sz w:val="24"/>
          <w:szCs w:val="24"/>
        </w:rPr>
        <w:t xml:space="preserve">46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налогу на имущество физических лиц наблюдается увеличение на 14</w:t>
      </w:r>
      <w:r>
        <w:rPr>
          <w:sz w:val="24"/>
          <w:szCs w:val="24"/>
        </w:rPr>
        <w:t xml:space="preserve"> процентов или </w:t>
      </w:r>
      <w:r>
        <w:rPr>
          <w:sz w:val="24"/>
          <w:szCs w:val="24"/>
        </w:rPr>
        <w:t xml:space="preserve">13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земельному налогу</w:t>
      </w:r>
      <w:r>
        <w:rPr>
          <w:sz w:val="24"/>
          <w:szCs w:val="24"/>
        </w:rPr>
        <w:t xml:space="preserve"> наблюдается увеличение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35</w:t>
      </w:r>
      <w:r>
        <w:rPr>
          <w:sz w:val="24"/>
          <w:szCs w:val="24"/>
        </w:rPr>
        <w:t xml:space="preserve"> процентов или 332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</w:pPr>
      <w:r>
        <w:rPr>
          <w:sz w:val="24"/>
          <w:szCs w:val="24"/>
        </w:rPr>
        <w:t xml:space="preserve">По группе неналоговых доходов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по сравнению с 2023</w:t>
      </w:r>
      <w:r>
        <w:rPr>
          <w:sz w:val="24"/>
          <w:szCs w:val="24"/>
        </w:rPr>
        <w:t xml:space="preserve"> годом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наблюдается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на 25</w:t>
      </w:r>
      <w:r>
        <w:rPr>
          <w:sz w:val="24"/>
          <w:szCs w:val="24"/>
        </w:rPr>
        <w:t xml:space="preserve"> тыс. рублей или на 37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, в том числе: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использования муниципального имущества, находящегося в государственной и муниципальной собственности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составляет</w:t>
      </w:r>
      <w:r>
        <w:rPr>
          <w:sz w:val="24"/>
          <w:szCs w:val="24"/>
        </w:rPr>
        <w:t xml:space="preserve"> 100 процентов</w:t>
      </w:r>
      <w:r>
        <w:rPr>
          <w:sz w:val="24"/>
          <w:szCs w:val="24"/>
        </w:rPr>
        <w:t xml:space="preserve">  или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</w:t>
      </w:r>
      <w:r>
        <w:rPr>
          <w:sz w:val="24"/>
          <w:szCs w:val="24"/>
        </w:rPr>
        <w:t xml:space="preserve">доходам от оказания платных услуг и компенсации затрат государства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уменьшение  составляет 30 процентов 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18</w:t>
      </w:r>
      <w:r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  <w:t xml:space="preserve">Объем безвозмездных поступлений по отношению к 2023</w:t>
      </w:r>
      <w:r>
        <w:rPr>
          <w:sz w:val="24"/>
          <w:szCs w:val="24"/>
        </w:rPr>
        <w:t xml:space="preserve"> году в целом</w:t>
      </w:r>
      <w:r>
        <w:rPr>
          <w:sz w:val="24"/>
          <w:szCs w:val="24"/>
        </w:rPr>
        <w:t xml:space="preserve"> уменьшился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77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 или 3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за счет уменьшения</w:t>
      </w:r>
      <w:r>
        <w:rPr>
          <w:sz w:val="24"/>
          <w:szCs w:val="24"/>
        </w:rPr>
        <w:t xml:space="preserve"> объема дотации на выравнивани</w:t>
      </w:r>
      <w:r>
        <w:rPr>
          <w:sz w:val="24"/>
          <w:szCs w:val="24"/>
        </w:rPr>
        <w:t xml:space="preserve">е бюджетной обеспеченности на 589</w:t>
      </w:r>
      <w:r>
        <w:rPr>
          <w:sz w:val="24"/>
          <w:szCs w:val="24"/>
        </w:rPr>
        <w:t xml:space="preserve"> тыс. рублей (29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увеличение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иных межбюджетных трансфертов на 382</w:t>
      </w:r>
      <w:r>
        <w:rPr>
          <w:sz w:val="24"/>
          <w:szCs w:val="24"/>
        </w:rPr>
        <w:t xml:space="preserve"> тыс. рублей (305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), увеличение субсидии бюджетам бюджетной системы (межбюджетные субсидии) на 108 </w:t>
      </w:r>
      <w:r>
        <w:rPr>
          <w:sz w:val="24"/>
          <w:szCs w:val="24"/>
        </w:rPr>
        <w:t xml:space="preserve">тыс. рублей </w:t>
      </w:r>
      <w:r>
        <w:rPr>
          <w:sz w:val="24"/>
          <w:szCs w:val="24"/>
        </w:rPr>
        <w:t xml:space="preserve">(39 процентов)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субвенции </w:t>
      </w:r>
      <w:r>
        <w:rPr>
          <w:sz w:val="24"/>
          <w:szCs w:val="24"/>
        </w:rPr>
        <w:t xml:space="preserve">увеличились</w:t>
      </w:r>
      <w:r>
        <w:rPr>
          <w:sz w:val="24"/>
          <w:szCs w:val="24"/>
        </w:rPr>
        <w:t xml:space="preserve">  на 22</w:t>
      </w:r>
      <w:r>
        <w:rPr>
          <w:sz w:val="24"/>
          <w:szCs w:val="24"/>
        </w:rPr>
        <w:t xml:space="preserve"> тыс. рублей (12 процентов).</w:t>
      </w:r>
      <w:r>
        <w:rPr>
          <w:sz w:val="24"/>
          <w:szCs w:val="24"/>
        </w:rPr>
        <w:t xml:space="preserve"> </w:t>
      </w:r>
      <w:r/>
    </w:p>
    <w:p>
      <w:pPr>
        <w:pStyle w:val="576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РАСХОДЫ.</w:t>
      </w:r>
      <w:r/>
    </w:p>
    <w:p>
      <w:pPr>
        <w:pStyle w:val="576"/>
        <w:jc w:val="center"/>
        <w:spacing w:lineRule="auto" w:line="27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Расходная часть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исполнена на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6032</w:t>
      </w:r>
      <w:r>
        <w:rPr>
          <w:sz w:val="24"/>
          <w:szCs w:val="24"/>
        </w:rPr>
        <w:t xml:space="preserve">,65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99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26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уточнённым пл</w:t>
      </w:r>
      <w:r>
        <w:rPr>
          <w:sz w:val="24"/>
          <w:szCs w:val="24"/>
        </w:rPr>
        <w:t xml:space="preserve">ановым назначениям (Приложение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пояснительной записке</w:t>
      </w:r>
      <w:r>
        <w:rPr>
          <w:sz w:val="24"/>
          <w:szCs w:val="24"/>
        </w:rPr>
        <w:t xml:space="preserve">).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Необходимо отметить, что расходные обязательства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 всем социально значимым направлениям расходов в</w:t>
      </w:r>
      <w:r>
        <w:rPr>
          <w:sz w:val="24"/>
          <w:szCs w:val="24"/>
        </w:rPr>
        <w:t xml:space="preserve"> ходе исполнения бюджета за 2024</w:t>
      </w:r>
      <w:r>
        <w:rPr>
          <w:sz w:val="24"/>
          <w:szCs w:val="24"/>
        </w:rPr>
        <w:t xml:space="preserve"> год профинансированы в полном объеме: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обеспечена выплата заработной платы с учетом 100 процентов аванса в декабре за декабрь;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произведена оплата предоставленных счетов за потребленные коммунальные услуги и электроэнергию.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сравнении с 2023</w:t>
      </w:r>
      <w:r>
        <w:rPr>
          <w:sz w:val="24"/>
          <w:szCs w:val="24"/>
        </w:rPr>
        <w:t xml:space="preserve"> годом на 2024</w:t>
      </w:r>
      <w:r>
        <w:rPr>
          <w:sz w:val="24"/>
          <w:szCs w:val="24"/>
        </w:rPr>
        <w:t xml:space="preserve"> год исполнение бюджета характеризуется </w:t>
      </w:r>
      <w:r>
        <w:rPr>
          <w:sz w:val="24"/>
          <w:szCs w:val="24"/>
        </w:rPr>
        <w:t xml:space="preserve">уменьшением</w:t>
      </w:r>
      <w:r>
        <w:rPr>
          <w:sz w:val="24"/>
          <w:szCs w:val="24"/>
        </w:rPr>
        <w:t xml:space="preserve"> расходов на общую сумму 324,23</w:t>
      </w:r>
      <w:r>
        <w:rPr>
          <w:sz w:val="24"/>
          <w:szCs w:val="24"/>
        </w:rPr>
        <w:t xml:space="preserve"> тыс. рублей или на </w:t>
      </w:r>
      <w:r>
        <w:rPr>
          <w:sz w:val="24"/>
          <w:szCs w:val="24"/>
        </w:rPr>
        <w:t xml:space="preserve">7,4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(Приложение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/>
    </w:p>
    <w:p>
      <w:pPr>
        <w:pStyle w:val="592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0100 «Общегосударственные вопросы»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99</w:t>
      </w:r>
      <w:r>
        <w:rPr>
          <w:rFonts w:ascii="Times New Roman" w:hAnsi="Times New Roman"/>
          <w:sz w:val="24"/>
          <w:szCs w:val="24"/>
        </w:rPr>
        <w:t xml:space="preserve">,74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, при годовом плане  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770,14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762,81</w:t>
      </w:r>
      <w:r>
        <w:rPr>
          <w:rFonts w:ascii="Times New Roman" w:hAnsi="Times New Roman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 xml:space="preserve">ыс. рублей</w:t>
      </w:r>
      <w:r>
        <w:rPr>
          <w:rFonts w:ascii="Times New Roman" w:hAnsi="Times New Roman"/>
          <w:sz w:val="24"/>
          <w:szCs w:val="24"/>
        </w:rPr>
        <w:t xml:space="preserve">, в том числе </w:t>
      </w:r>
      <w:r>
        <w:rPr>
          <w:rFonts w:ascii="Times New Roman" w:hAnsi="Times New Roman"/>
          <w:sz w:val="24"/>
          <w:szCs w:val="24"/>
        </w:rPr>
        <w:t xml:space="preserve">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0102 «Функционирование высшего должностного лица субъекта Российской Федерации и муниципального образования»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927,67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100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 на содержание Главы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Элисенваарское сельское поселение.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1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491</w:t>
      </w:r>
      <w:r>
        <w:rPr>
          <w:rFonts w:ascii="Times New Roman" w:hAnsi="Times New Roman"/>
          <w:sz w:val="24"/>
          <w:szCs w:val="24"/>
        </w:rPr>
        <w:t xml:space="preserve">,39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100,0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данному подразделу произведено финансовое обеспечение следующих расходов: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текущее содержание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Элисенваарское</w:t>
      </w:r>
      <w:r>
        <w:rPr>
          <w:rFonts w:ascii="Times New Roman" w:hAnsi="Times New Roman"/>
          <w:sz w:val="24"/>
          <w:szCs w:val="24"/>
        </w:rPr>
        <w:t xml:space="preserve"> сельское поселение –</w:t>
      </w:r>
      <w:r>
        <w:rPr>
          <w:rFonts w:ascii="Times New Roman" w:hAnsi="Times New Roman"/>
          <w:sz w:val="24"/>
          <w:szCs w:val="24"/>
        </w:rPr>
        <w:t xml:space="preserve"> 988,64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создание и обеспечение деятельности административных комиссий - 2,0 тыс. рублей</w:t>
      </w:r>
      <w:r>
        <w:rPr>
          <w:rFonts w:ascii="Times New Roman" w:hAnsi="Times New Roman"/>
          <w:sz w:val="24"/>
          <w:szCs w:val="24"/>
        </w:rPr>
        <w:t xml:space="preserve">;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осуществление части полномочий Лахденпохского муниципального района по решению вопросов местного значения (п.п. 6 статьи 14 Федерального закона № 131-ФЗ)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 заключенным Соглашением - 157</w:t>
      </w:r>
      <w:r>
        <w:rPr>
          <w:rFonts w:ascii="Times New Roman" w:hAnsi="Times New Roman"/>
          <w:color w:val="000000"/>
          <w:sz w:val="24"/>
          <w:szCs w:val="24"/>
        </w:rPr>
        <w:t xml:space="preserve">,00 тыс. рублей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</w:t>
      </w:r>
      <w:r>
        <w:rPr>
          <w:rFonts w:ascii="Times New Roman" w:hAnsi="Times New Roman"/>
          <w:sz w:val="24"/>
          <w:szCs w:val="24"/>
        </w:rPr>
        <w:t xml:space="preserve">13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Другие общегосударственные вопросы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343,75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97,91 процентов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/>
    </w:p>
    <w:p>
      <w:pPr>
        <w:pStyle w:val="592"/>
        <w:ind w:firstLine="0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0200 «Национальная оборона»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100,0</w:t>
      </w:r>
      <w:r>
        <w:rPr>
          <w:rFonts w:ascii="Times New Roman" w:hAnsi="Times New Roman"/>
          <w:sz w:val="24"/>
          <w:szCs w:val="24"/>
        </w:rPr>
        <w:t xml:space="preserve"> процентов,</w:t>
      </w:r>
      <w:r>
        <w:rPr>
          <w:rFonts w:ascii="Times New Roman" w:hAnsi="Times New Roman"/>
          <w:sz w:val="24"/>
          <w:szCs w:val="24"/>
        </w:rPr>
        <w:t xml:space="preserve"> при годовом плане </w:t>
      </w:r>
      <w:r>
        <w:rPr>
          <w:rFonts w:ascii="Times New Roman" w:hAnsi="Times New Roman"/>
          <w:sz w:val="24"/>
          <w:szCs w:val="24"/>
        </w:rPr>
        <w:t xml:space="preserve">199,7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199,7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производились расходы по подраздел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0203 «Мобилизационная и вневойсковая подготовка»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о</w:t>
      </w:r>
      <w:r>
        <w:rPr>
          <w:rFonts w:ascii="Times New Roman" w:hAnsi="Times New Roman"/>
          <w:sz w:val="24"/>
          <w:szCs w:val="24"/>
        </w:rPr>
        <w:t xml:space="preserve">существление переданных полномочий РФ по первичному воинскому учету </w:t>
      </w:r>
      <w:r>
        <w:rPr>
          <w:rFonts w:ascii="Times New Roman" w:hAnsi="Times New Roman"/>
          <w:sz w:val="24"/>
          <w:szCs w:val="24"/>
        </w:rPr>
        <w:t xml:space="preserve">органамам местного самоуправления поселений, муниципальных и городских округов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92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04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Национальная экономика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8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100</w:t>
      </w:r>
      <w:r>
        <w:rPr>
          <w:rFonts w:ascii="Times New Roman" w:hAnsi="Times New Roman"/>
          <w:sz w:val="24"/>
          <w:szCs w:val="24"/>
        </w:rPr>
        <w:t xml:space="preserve">,00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, при годовом плане 617,35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617,35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0409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Дорожное хозяйство (дорожные фонды)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617,35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100</w:t>
      </w:r>
      <w:r>
        <w:rPr>
          <w:rFonts w:ascii="Times New Roman" w:hAnsi="Times New Roman"/>
          <w:sz w:val="24"/>
          <w:szCs w:val="24"/>
        </w:rPr>
        <w:t xml:space="preserve">,00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</w:rPr>
        <w:t xml:space="preserve"> </w:t>
      </w:r>
      <w:r>
        <w:rPr>
          <w:rFonts w:ascii="Times New Roman" w:hAnsi="Times New Roman" w:cs="Times New Roman" w:eastAsia="Times New Roman"/>
          <w:sz w:val="24"/>
        </w:rPr>
        <w:t xml:space="preserve">В данном подразделе расходы были произведены на текущий ремонт, грейдирование и расчистку дорог от снега -</w:t>
      </w:r>
      <w:r>
        <w:rPr>
          <w:rFonts w:ascii="Times New Roman" w:hAnsi="Times New Roman" w:cs="Times New Roman" w:eastAsia="Times New Roman"/>
          <w:sz w:val="24"/>
        </w:rPr>
        <w:t xml:space="preserve"> 605,92 т.р.; на приобретение ламп для уличного освещения на - 11,43 т.р.    </w:t>
      </w:r>
      <w:r>
        <w:rPr>
          <w:sz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</w:t>
      </w:r>
      <w:r>
        <w:rPr>
          <w:rFonts w:ascii="Times New Roman" w:hAnsi="Times New Roman"/>
          <w:b/>
          <w:sz w:val="24"/>
          <w:szCs w:val="24"/>
        </w:rPr>
        <w:t xml:space="preserve">5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Жилищно-коммунальное хозяйство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8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92,10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, при годовом плане 209,10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192,59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050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Благоустройство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192,59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92,10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 (уличное освещение).</w:t>
      </w:r>
      <w:r/>
    </w:p>
    <w:p>
      <w:pPr>
        <w:pStyle w:val="592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0800 «Культура, кинематография»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99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процент</w:t>
      </w:r>
      <w:r>
        <w:rPr>
          <w:rFonts w:ascii="Times New Roman" w:hAnsi="Times New Roman"/>
          <w:sz w:val="24"/>
          <w:szCs w:val="24"/>
        </w:rPr>
        <w:t xml:space="preserve">ов, при годовом плане </w:t>
      </w:r>
      <w:r>
        <w:rPr>
          <w:rFonts w:ascii="Times New Roman" w:hAnsi="Times New Roman"/>
          <w:sz w:val="24"/>
          <w:szCs w:val="24"/>
        </w:rPr>
        <w:t xml:space="preserve">2 281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53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 260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20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расходы производились по подраздел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0801 «Культура»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Финансовое обеспечение расходов производилось по следующим направлениям: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обеспечен</w:t>
      </w:r>
      <w:r>
        <w:rPr>
          <w:rFonts w:ascii="Times New Roman" w:hAnsi="Times New Roman"/>
          <w:sz w:val="24"/>
          <w:szCs w:val="24"/>
        </w:rPr>
        <w:t xml:space="preserve">ие</w:t>
      </w:r>
      <w:r>
        <w:rPr>
          <w:rFonts w:ascii="Times New Roman" w:hAnsi="Times New Roman"/>
          <w:sz w:val="24"/>
          <w:szCs w:val="24"/>
        </w:rPr>
        <w:t xml:space="preserve"> функционировани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учреждени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культуры </w:t>
      </w:r>
      <w:r>
        <w:rPr>
          <w:rFonts w:ascii="Times New Roman" w:hAnsi="Times New Roman"/>
          <w:sz w:val="24"/>
          <w:szCs w:val="24"/>
        </w:rPr>
        <w:t xml:space="preserve">муниципального казенного учреждения </w:t>
      </w:r>
      <w:r>
        <w:rPr>
          <w:rFonts w:ascii="Times New Roman" w:hAnsi="Times New Roman"/>
          <w:sz w:val="24"/>
          <w:szCs w:val="24"/>
        </w:rPr>
        <w:t xml:space="preserve">«Эстерловский культурно-</w:t>
      </w:r>
      <w:r>
        <w:rPr>
          <w:rFonts w:ascii="Times New Roman" w:hAnsi="Times New Roman"/>
          <w:sz w:val="24"/>
          <w:szCs w:val="24"/>
        </w:rPr>
        <w:t xml:space="preserve"> досуговый</w:t>
      </w:r>
      <w:r>
        <w:rPr>
          <w:rFonts w:ascii="Times New Roman" w:hAnsi="Times New Roman"/>
          <w:sz w:val="24"/>
          <w:szCs w:val="24"/>
        </w:rPr>
        <w:t xml:space="preserve"> центр» (МКУ «ЭК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Ц»)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2 260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20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0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 КРЕДИТОРСКАЯ ЗАДОЛЖЕННОСТЬ И </w:t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ДОЛГОВЫЕ ОБЯЗАТЕЛЬСТВА.</w:t>
      </w: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Администрацией Элисенваарского сельского поселения за счет контроля принятия бюджетных обязательств обеспечены качественные показатели, не обременившие бюджет поселения долговыми обязательствами, включаемыми в муниципальную долговую книгу.</w:t>
      </w:r>
      <w:r>
        <w:rPr>
          <w:sz w:val="24"/>
          <w:szCs w:val="24"/>
        </w:rPr>
        <w:t xml:space="preserve"> По состоянию на 01.01.2025</w:t>
      </w:r>
      <w:r>
        <w:rPr>
          <w:sz w:val="24"/>
          <w:szCs w:val="24"/>
        </w:rPr>
        <w:t xml:space="preserve"> г. муниципальный долг Элисенваарского сельского поселения отсутствует.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Кредиторская задолженность </w:t>
      </w:r>
      <w:r>
        <w:rPr>
          <w:sz w:val="24"/>
          <w:szCs w:val="24"/>
        </w:rPr>
        <w:t xml:space="preserve">за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Администрации Элисенваарского сельского поселения увеличилась</w:t>
      </w:r>
      <w:r>
        <w:rPr>
          <w:sz w:val="24"/>
          <w:szCs w:val="24"/>
        </w:rPr>
        <w:t xml:space="preserve"> на 0,93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и составила </w:t>
      </w:r>
      <w:r>
        <w:rPr>
          <w:sz w:val="24"/>
          <w:szCs w:val="24"/>
        </w:rPr>
        <w:t xml:space="preserve">по состоянию на 01 января </w:t>
      </w:r>
      <w:r>
        <w:rPr>
          <w:sz w:val="24"/>
          <w:szCs w:val="24"/>
        </w:rPr>
        <w:t xml:space="preserve">2025</w:t>
      </w:r>
      <w:r>
        <w:rPr>
          <w:sz w:val="24"/>
          <w:szCs w:val="24"/>
        </w:rPr>
        <w:t xml:space="preserve"> г. </w:t>
      </w:r>
      <w:r>
        <w:rPr>
          <w:sz w:val="24"/>
          <w:szCs w:val="24"/>
        </w:rPr>
        <w:t xml:space="preserve">15,</w:t>
      </w:r>
      <w:r>
        <w:rPr>
          <w:sz w:val="24"/>
          <w:szCs w:val="24"/>
        </w:rPr>
        <w:t xml:space="preserve">10</w:t>
      </w:r>
      <w:r>
        <w:rPr>
          <w:sz w:val="24"/>
          <w:szCs w:val="24"/>
        </w:rPr>
        <w:t xml:space="preserve"> тыс. рублей,</w:t>
      </w:r>
      <w:r>
        <w:rPr>
          <w:sz w:val="24"/>
          <w:szCs w:val="24"/>
        </w:rPr>
        <w:t xml:space="preserve"> просроченная кредиторская задолженность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отсутствует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(Приложение 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ДЕФИЦИТ (</w:t>
      </w:r>
      <w:r>
        <w:rPr>
          <w:b/>
          <w:sz w:val="24"/>
          <w:szCs w:val="24"/>
        </w:rPr>
        <w:t xml:space="preserve">ПРОФИЦИТ</w:t>
      </w:r>
      <w:r>
        <w:rPr>
          <w:b/>
          <w:sz w:val="24"/>
          <w:szCs w:val="24"/>
        </w:rPr>
        <w:t xml:space="preserve">)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Б</w:t>
      </w:r>
      <w:r>
        <w:rPr>
          <w:b/>
          <w:sz w:val="24"/>
          <w:szCs w:val="24"/>
        </w:rPr>
        <w:t xml:space="preserve">ЮДЖЕТА</w:t>
      </w:r>
      <w:r>
        <w:rPr>
          <w:b/>
          <w:sz w:val="24"/>
          <w:szCs w:val="24"/>
        </w:rPr>
        <w:t xml:space="preserve">.</w:t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Бюджет Элисенваарского сельского поселения за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 исполнен с профицитом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 xml:space="preserve">55</w:t>
      </w:r>
      <w:r>
        <w:rPr>
          <w:sz w:val="24"/>
          <w:szCs w:val="24"/>
        </w:rPr>
        <w:t xml:space="preserve">,15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Для финансирования дефицита бюджета в течении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года источники внутреннего финансирования не привлекались. 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Все обязательные требования Б</w:t>
      </w:r>
      <w:r>
        <w:rPr>
          <w:sz w:val="24"/>
          <w:szCs w:val="24"/>
        </w:rPr>
        <w:t xml:space="preserve">юджетного кодекса Российской Федерации, ограничивающие параметры бюджета, как при формировании, так и при исполнении решения Совета «О бюджете Элисенваарского сельского поселения на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год» были обеспечены в полном объеме.</w:t>
      </w:r>
      <w:r>
        <w:rPr>
          <w:sz w:val="24"/>
          <w:szCs w:val="24"/>
        </w:rPr>
      </w:r>
      <w:r/>
    </w:p>
    <w:p>
      <w:pPr>
        <w:pStyle w:val="576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sectPr>
      <w:footnotePr/>
      <w:type w:val="nextPage"/>
      <w:pgSz w:w="11906" w:h="16838" w:orient="portrait"/>
      <w:pgMar w:top="851" w:right="851" w:bottom="851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76"/>
        <w:ind w:left="1080" w:hanging="360"/>
        <w:tabs>
          <w:tab w:val="left" w:pos="108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76"/>
        <w:ind w:left="1815" w:hanging="1095"/>
        <w:tabs>
          <w:tab w:val="left" w:pos="18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800" w:hanging="360"/>
        <w:tabs>
          <w:tab w:val="left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20" w:hanging="180"/>
        <w:tabs>
          <w:tab w:val="left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40" w:hanging="360"/>
        <w:tabs>
          <w:tab w:val="left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60" w:hanging="360"/>
        <w:tabs>
          <w:tab w:val="left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80" w:hanging="180"/>
        <w:tabs>
          <w:tab w:val="left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400" w:hanging="360"/>
        <w:tabs>
          <w:tab w:val="left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20" w:hanging="360"/>
        <w:tabs>
          <w:tab w:val="left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40" w:hanging="180"/>
        <w:tabs>
          <w:tab w:val="left" w:pos="6840" w:leader="none"/>
        </w:tabs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576"/>
        <w:ind w:left="2160" w:hanging="720"/>
        <w:tabs>
          <w:tab w:val="left" w:pos="21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  <w:tabs>
          <w:tab w:val="left" w:pos="720" w:leader="none"/>
        </w:tabs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4">
    <w:name w:val="Heading 1"/>
    <w:link w:val="40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5">
    <w:name w:val="Heading 1 Char"/>
    <w:link w:val="404"/>
    <w:uiPriority w:val="9"/>
    <w:rPr>
      <w:rFonts w:ascii="Arial" w:hAnsi="Arial" w:cs="Arial" w:eastAsia="Arial"/>
      <w:sz w:val="40"/>
      <w:szCs w:val="40"/>
    </w:rPr>
  </w:style>
  <w:style w:type="paragraph" w:styleId="406">
    <w:name w:val="Heading 2"/>
    <w:link w:val="40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7">
    <w:name w:val="Heading 2 Char"/>
    <w:link w:val="406"/>
    <w:uiPriority w:val="9"/>
    <w:rPr>
      <w:rFonts w:ascii="Arial" w:hAnsi="Arial" w:cs="Arial" w:eastAsia="Arial"/>
      <w:sz w:val="34"/>
    </w:rPr>
  </w:style>
  <w:style w:type="paragraph" w:styleId="408">
    <w:name w:val="Heading 3"/>
    <w:link w:val="40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9">
    <w:name w:val="Heading 3 Char"/>
    <w:link w:val="408"/>
    <w:uiPriority w:val="9"/>
    <w:rPr>
      <w:rFonts w:ascii="Arial" w:hAnsi="Arial" w:cs="Arial" w:eastAsia="Arial"/>
      <w:sz w:val="30"/>
      <w:szCs w:val="30"/>
    </w:rPr>
  </w:style>
  <w:style w:type="paragraph" w:styleId="410">
    <w:name w:val="Heading 4"/>
    <w:link w:val="41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11">
    <w:name w:val="Heading 4 Char"/>
    <w:link w:val="410"/>
    <w:uiPriority w:val="9"/>
    <w:rPr>
      <w:rFonts w:ascii="Arial" w:hAnsi="Arial" w:cs="Arial" w:eastAsia="Arial"/>
      <w:b/>
      <w:bCs/>
      <w:sz w:val="26"/>
      <w:szCs w:val="26"/>
    </w:rPr>
  </w:style>
  <w:style w:type="paragraph" w:styleId="412">
    <w:name w:val="Heading 5"/>
    <w:link w:val="41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3">
    <w:name w:val="Heading 5 Char"/>
    <w:link w:val="412"/>
    <w:uiPriority w:val="9"/>
    <w:rPr>
      <w:rFonts w:ascii="Arial" w:hAnsi="Arial" w:cs="Arial" w:eastAsia="Arial"/>
      <w:b/>
      <w:bCs/>
      <w:sz w:val="24"/>
      <w:szCs w:val="24"/>
    </w:rPr>
  </w:style>
  <w:style w:type="paragraph" w:styleId="414">
    <w:name w:val="Heading 6"/>
    <w:link w:val="41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5">
    <w:name w:val="Heading 6 Char"/>
    <w:link w:val="414"/>
    <w:uiPriority w:val="9"/>
    <w:rPr>
      <w:rFonts w:ascii="Arial" w:hAnsi="Arial" w:cs="Arial" w:eastAsia="Arial"/>
      <w:b/>
      <w:bCs/>
      <w:sz w:val="22"/>
      <w:szCs w:val="22"/>
    </w:rPr>
  </w:style>
  <w:style w:type="paragraph" w:styleId="416">
    <w:name w:val="Heading 7"/>
    <w:link w:val="41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7">
    <w:name w:val="Heading 7 Char"/>
    <w:link w:val="4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8">
    <w:name w:val="Heading 8"/>
    <w:link w:val="41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9">
    <w:name w:val="Heading 8 Char"/>
    <w:link w:val="418"/>
    <w:uiPriority w:val="9"/>
    <w:rPr>
      <w:rFonts w:ascii="Arial" w:hAnsi="Arial" w:cs="Arial" w:eastAsia="Arial"/>
      <w:i/>
      <w:iCs/>
      <w:sz w:val="22"/>
      <w:szCs w:val="22"/>
    </w:rPr>
  </w:style>
  <w:style w:type="paragraph" w:styleId="420">
    <w:name w:val="Heading 9"/>
    <w:link w:val="42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1">
    <w:name w:val="Heading 9 Char"/>
    <w:link w:val="420"/>
    <w:uiPriority w:val="9"/>
    <w:rPr>
      <w:rFonts w:ascii="Arial" w:hAnsi="Arial" w:cs="Arial" w:eastAsia="Arial"/>
      <w:i/>
      <w:iCs/>
      <w:sz w:val="21"/>
      <w:szCs w:val="21"/>
    </w:rPr>
  </w:style>
  <w:style w:type="paragraph" w:styleId="422">
    <w:name w:val="List Paragraph"/>
    <w:qFormat/>
    <w:uiPriority w:val="34"/>
    <w:pPr>
      <w:contextualSpacing w:val="true"/>
      <w:ind w:left="720"/>
    </w:pPr>
  </w:style>
  <w:style w:type="paragraph" w:styleId="423">
    <w:name w:val="No Spacing"/>
    <w:qFormat/>
    <w:uiPriority w:val="1"/>
    <w:pPr>
      <w:spacing w:lineRule="auto" w:line="240" w:after="0" w:before="0"/>
    </w:pPr>
  </w:style>
  <w:style w:type="paragraph" w:styleId="424">
    <w:name w:val="Title"/>
    <w:link w:val="4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5">
    <w:name w:val="Title Char"/>
    <w:link w:val="424"/>
    <w:uiPriority w:val="10"/>
    <w:rPr>
      <w:sz w:val="48"/>
      <w:szCs w:val="48"/>
    </w:rPr>
  </w:style>
  <w:style w:type="paragraph" w:styleId="426">
    <w:name w:val="Subtitle"/>
    <w:link w:val="427"/>
    <w:qFormat/>
    <w:uiPriority w:val="11"/>
    <w:rPr>
      <w:sz w:val="24"/>
      <w:szCs w:val="24"/>
    </w:rPr>
    <w:pPr>
      <w:spacing w:after="200" w:before="200"/>
    </w:pPr>
  </w:style>
  <w:style w:type="character" w:styleId="427">
    <w:name w:val="Subtitle Char"/>
    <w:link w:val="426"/>
    <w:uiPriority w:val="11"/>
    <w:rPr>
      <w:sz w:val="24"/>
      <w:szCs w:val="24"/>
    </w:rPr>
  </w:style>
  <w:style w:type="paragraph" w:styleId="428">
    <w:name w:val="Quote"/>
    <w:link w:val="429"/>
    <w:qFormat/>
    <w:uiPriority w:val="29"/>
    <w:rPr>
      <w:i/>
    </w:rPr>
    <w:pPr>
      <w:ind w:left="720" w:right="720"/>
    </w:pPr>
  </w:style>
  <w:style w:type="character" w:styleId="429">
    <w:name w:val="Quote Char"/>
    <w:link w:val="428"/>
    <w:uiPriority w:val="29"/>
    <w:rPr>
      <w:i/>
    </w:rPr>
  </w:style>
  <w:style w:type="paragraph" w:styleId="430">
    <w:name w:val="Intense Quote"/>
    <w:link w:val="43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1">
    <w:name w:val="Intense Quote Char"/>
    <w:link w:val="430"/>
    <w:uiPriority w:val="30"/>
    <w:rPr>
      <w:i/>
    </w:rPr>
  </w:style>
  <w:style w:type="paragraph" w:styleId="432">
    <w:name w:val="Header"/>
    <w:link w:val="4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3">
    <w:name w:val="Header Char"/>
    <w:link w:val="432"/>
    <w:uiPriority w:val="99"/>
  </w:style>
  <w:style w:type="paragraph" w:styleId="434">
    <w:name w:val="Footer"/>
    <w:link w:val="4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5">
    <w:name w:val="Footer Char"/>
    <w:link w:val="434"/>
    <w:uiPriority w:val="99"/>
  </w:style>
  <w:style w:type="table" w:styleId="4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2">
    <w:name w:val="Hyperlink"/>
    <w:uiPriority w:val="99"/>
    <w:unhideWhenUsed/>
    <w:rPr>
      <w:color w:val="0000FF" w:themeColor="hyperlink"/>
      <w:u w:val="single"/>
    </w:rPr>
  </w:style>
  <w:style w:type="paragraph" w:styleId="563">
    <w:name w:val="footnote text"/>
    <w:link w:val="564"/>
    <w:uiPriority w:val="99"/>
    <w:semiHidden/>
    <w:unhideWhenUsed/>
    <w:rPr>
      <w:sz w:val="18"/>
    </w:rPr>
    <w:pPr>
      <w:spacing w:lineRule="auto" w:line="240" w:after="40"/>
    </w:pPr>
  </w:style>
  <w:style w:type="character" w:styleId="564">
    <w:name w:val="Footnote Text Char"/>
    <w:link w:val="563"/>
    <w:uiPriority w:val="99"/>
    <w:rPr>
      <w:sz w:val="18"/>
    </w:rPr>
  </w:style>
  <w:style w:type="character" w:styleId="565">
    <w:name w:val="footnote reference"/>
    <w:uiPriority w:val="99"/>
    <w:unhideWhenUsed/>
    <w:rPr>
      <w:vertAlign w:val="superscript"/>
    </w:rPr>
  </w:style>
  <w:style w:type="paragraph" w:styleId="566">
    <w:name w:val="toc 1"/>
    <w:uiPriority w:val="39"/>
    <w:unhideWhenUsed/>
    <w:pPr>
      <w:ind w:left="0" w:right="0" w:firstLine="0"/>
      <w:spacing w:after="57"/>
    </w:pPr>
  </w:style>
  <w:style w:type="paragraph" w:styleId="567">
    <w:name w:val="toc 2"/>
    <w:uiPriority w:val="39"/>
    <w:unhideWhenUsed/>
    <w:pPr>
      <w:ind w:left="283" w:right="0" w:firstLine="0"/>
      <w:spacing w:after="57"/>
    </w:pPr>
  </w:style>
  <w:style w:type="paragraph" w:styleId="568">
    <w:name w:val="toc 3"/>
    <w:uiPriority w:val="39"/>
    <w:unhideWhenUsed/>
    <w:pPr>
      <w:ind w:left="567" w:right="0" w:firstLine="0"/>
      <w:spacing w:after="57"/>
    </w:pPr>
  </w:style>
  <w:style w:type="paragraph" w:styleId="569">
    <w:name w:val="toc 4"/>
    <w:uiPriority w:val="39"/>
    <w:unhideWhenUsed/>
    <w:pPr>
      <w:ind w:left="850" w:right="0" w:firstLine="0"/>
      <w:spacing w:after="57"/>
    </w:pPr>
  </w:style>
  <w:style w:type="paragraph" w:styleId="570">
    <w:name w:val="toc 5"/>
    <w:uiPriority w:val="39"/>
    <w:unhideWhenUsed/>
    <w:pPr>
      <w:ind w:left="1134" w:right="0" w:firstLine="0"/>
      <w:spacing w:after="57"/>
    </w:pPr>
  </w:style>
  <w:style w:type="paragraph" w:styleId="571">
    <w:name w:val="toc 6"/>
    <w:uiPriority w:val="39"/>
    <w:unhideWhenUsed/>
    <w:pPr>
      <w:ind w:left="1417" w:right="0" w:firstLine="0"/>
      <w:spacing w:after="57"/>
    </w:pPr>
  </w:style>
  <w:style w:type="paragraph" w:styleId="572">
    <w:name w:val="toc 7"/>
    <w:uiPriority w:val="39"/>
    <w:unhideWhenUsed/>
    <w:pPr>
      <w:ind w:left="1701" w:right="0" w:firstLine="0"/>
      <w:spacing w:after="57"/>
    </w:pPr>
  </w:style>
  <w:style w:type="paragraph" w:styleId="573">
    <w:name w:val="toc 8"/>
    <w:uiPriority w:val="39"/>
    <w:unhideWhenUsed/>
    <w:pPr>
      <w:ind w:left="1984" w:right="0" w:firstLine="0"/>
      <w:spacing w:after="57"/>
    </w:pPr>
  </w:style>
  <w:style w:type="paragraph" w:styleId="574">
    <w:name w:val="toc 9"/>
    <w:uiPriority w:val="39"/>
    <w:unhideWhenUsed/>
    <w:pPr>
      <w:ind w:left="2268" w:right="0" w:firstLine="0"/>
      <w:spacing w:after="57"/>
    </w:pPr>
  </w:style>
  <w:style w:type="paragraph" w:styleId="575">
    <w:name w:val="TOC Heading"/>
    <w:uiPriority w:val="39"/>
    <w:unhideWhenUsed/>
  </w:style>
  <w:style w:type="paragraph" w:styleId="576">
    <w:name w:val="Обычный"/>
    <w:next w:val="576"/>
    <w:link w:val="576"/>
    <w:rPr>
      <w:lang w:val="ru-RU" w:bidi="ar-SA" w:eastAsia="ru-RU"/>
    </w:rPr>
  </w:style>
  <w:style w:type="paragraph" w:styleId="577">
    <w:name w:val="Заголовок 1"/>
    <w:basedOn w:val="576"/>
    <w:next w:val="576"/>
    <w:link w:val="576"/>
    <w:rPr>
      <w:rFonts w:ascii="Arial" w:hAnsi="Arial"/>
      <w:sz w:val="24"/>
      <w:lang w:val="en-US"/>
    </w:rPr>
    <w:pPr>
      <w:jc w:val="both"/>
      <w:keepNext/>
      <w:outlineLvl w:val="0"/>
    </w:pPr>
  </w:style>
  <w:style w:type="paragraph" w:styleId="578">
    <w:name w:val="Заголовок 2"/>
    <w:basedOn w:val="576"/>
    <w:next w:val="576"/>
    <w:link w:val="576"/>
    <w:rPr>
      <w:rFonts w:ascii="Arial" w:hAnsi="Arial"/>
      <w:sz w:val="24"/>
    </w:rPr>
    <w:pPr>
      <w:keepNext/>
      <w:outlineLvl w:val="1"/>
    </w:pPr>
  </w:style>
  <w:style w:type="paragraph" w:styleId="579">
    <w:name w:val="Заголовок 3"/>
    <w:basedOn w:val="576"/>
    <w:next w:val="576"/>
    <w:link w:val="576"/>
    <w:rPr>
      <w:rFonts w:ascii="Arial" w:hAnsi="Arial"/>
      <w:b/>
      <w:sz w:val="24"/>
    </w:rPr>
    <w:pPr>
      <w:ind w:left="4320" w:firstLine="720"/>
      <w:jc w:val="both"/>
      <w:keepNext/>
      <w:outlineLvl w:val="2"/>
    </w:pPr>
  </w:style>
  <w:style w:type="paragraph" w:styleId="580">
    <w:name w:val="Заголовок 4"/>
    <w:basedOn w:val="576"/>
    <w:next w:val="576"/>
    <w:link w:val="576"/>
    <w:rPr>
      <w:rFonts w:ascii="Arial" w:hAnsi="Arial"/>
      <w:sz w:val="24"/>
      <w:u w:val="single"/>
    </w:rPr>
    <w:pPr>
      <w:ind w:firstLine="720"/>
      <w:jc w:val="both"/>
      <w:keepNext/>
      <w:outlineLvl w:val="3"/>
    </w:pPr>
  </w:style>
  <w:style w:type="character" w:styleId="581">
    <w:name w:val="Основной шрифт абзаца, Знак Знак Знак Знак Знак Знак Знак Знак Знак Знак Знак Знак Знак Знак Знак"/>
    <w:next w:val="581"/>
    <w:link w:val="576"/>
    <w:semiHidden/>
  </w:style>
  <w:style w:type="table" w:styleId="582">
    <w:name w:val="Обычная таблица"/>
    <w:next w:val="582"/>
    <w:link w:val="576"/>
    <w:semiHidden/>
    <w:tblPr/>
  </w:style>
  <w:style w:type="numbering" w:styleId="583">
    <w:name w:val="Нет списка"/>
    <w:next w:val="583"/>
    <w:link w:val="576"/>
    <w:semiHidden/>
  </w:style>
  <w:style w:type="paragraph" w:styleId="584">
    <w:name w:val="Основной текст"/>
    <w:basedOn w:val="576"/>
    <w:next w:val="584"/>
    <w:link w:val="576"/>
    <w:rPr>
      <w:rFonts w:ascii="Arial" w:hAnsi="Arial"/>
      <w:sz w:val="24"/>
    </w:rPr>
    <w:pPr>
      <w:jc w:val="center"/>
    </w:pPr>
  </w:style>
  <w:style w:type="paragraph" w:styleId="585">
    <w:name w:val="Основной текст 2"/>
    <w:basedOn w:val="576"/>
    <w:next w:val="585"/>
    <w:link w:val="576"/>
    <w:rPr>
      <w:rFonts w:ascii="Arial" w:hAnsi="Arial"/>
      <w:sz w:val="24"/>
    </w:rPr>
    <w:pPr>
      <w:jc w:val="both"/>
    </w:pPr>
  </w:style>
  <w:style w:type="table" w:styleId="586">
    <w:name w:val="Сетка таблицы"/>
    <w:basedOn w:val="582"/>
    <w:next w:val="586"/>
    <w:link w:val="576"/>
    <w:tblPr/>
  </w:style>
  <w:style w:type="paragraph" w:styleId="587">
    <w:name w:val=" Знак Знак Знак Знак Знак Знак Знак Знак Знак Знак Знак Знак Знак Знак"/>
    <w:basedOn w:val="576"/>
    <w:next w:val="587"/>
    <w:link w:val="576"/>
    <w:rPr>
      <w:rFonts w:ascii="Verdana" w:hAnsi="Verdana"/>
      <w:lang w:val="en-US" w:eastAsia="en-US"/>
    </w:rPr>
  </w:style>
  <w:style w:type="paragraph" w:styleId="588">
    <w:name w:val="ConsPlusNormal"/>
    <w:next w:val="588"/>
    <w:link w:val="576"/>
    <w:rPr>
      <w:rFonts w:ascii="Arial" w:hAnsi="Arial"/>
      <w:lang w:val="ru-RU" w:bidi="ar-SA" w:eastAsia="ru-RU"/>
    </w:rPr>
    <w:pPr>
      <w:ind w:firstLine="720"/>
    </w:pPr>
  </w:style>
  <w:style w:type="paragraph" w:styleId="589">
    <w:name w:val=" Знак Знак Знак Знак Знак Знак Знак Знак Знак Знак Знак"/>
    <w:basedOn w:val="576"/>
    <w:next w:val="589"/>
    <w:link w:val="576"/>
    <w:rPr>
      <w:rFonts w:ascii="Verdana" w:hAnsi="Verdana"/>
      <w:lang w:val="en-US" w:eastAsia="en-US"/>
    </w:rPr>
  </w:style>
  <w:style w:type="paragraph" w:styleId="590">
    <w:name w:val="Текст выноски"/>
    <w:basedOn w:val="576"/>
    <w:next w:val="590"/>
    <w:link w:val="591"/>
    <w:semiHidden/>
    <w:rPr>
      <w:rFonts w:ascii="Tahoma" w:hAnsi="Tahoma"/>
      <w:sz w:val="16"/>
      <w:szCs w:val="16"/>
      <w:lang w:val="en-US" w:eastAsia="en-US"/>
    </w:rPr>
  </w:style>
  <w:style w:type="character" w:styleId="591">
    <w:name w:val="Текст выноски Знак"/>
    <w:next w:val="591"/>
    <w:link w:val="590"/>
    <w:semiHidden/>
    <w:rPr>
      <w:rFonts w:ascii="Tahoma" w:hAnsi="Tahoma"/>
      <w:sz w:val="16"/>
      <w:szCs w:val="16"/>
    </w:rPr>
  </w:style>
  <w:style w:type="paragraph" w:styleId="592">
    <w:name w:val="Без интервала"/>
    <w:next w:val="592"/>
    <w:link w:val="593"/>
    <w:rPr>
      <w:rFonts w:ascii="Calibri" w:hAnsi="Calibri"/>
      <w:sz w:val="22"/>
      <w:szCs w:val="22"/>
      <w:lang w:val="ru-RU" w:bidi="ar-SA" w:eastAsia="ru-RU"/>
    </w:rPr>
  </w:style>
  <w:style w:type="character" w:styleId="593">
    <w:name w:val="Без интервала Знак"/>
    <w:next w:val="593"/>
    <w:link w:val="592"/>
    <w:rPr>
      <w:rFonts w:ascii="Calibri" w:hAnsi="Calibri"/>
      <w:sz w:val="22"/>
      <w:szCs w:val="22"/>
      <w:lang w:bidi="ar-SA"/>
    </w:rPr>
  </w:style>
  <w:style w:type="character" w:styleId="594" w:default="1">
    <w:name w:val="Default Paragraph Font"/>
    <w:uiPriority w:val="1"/>
    <w:semiHidden/>
    <w:unhideWhenUsed/>
  </w:style>
  <w:style w:type="numbering" w:styleId="595" w:default="1">
    <w:name w:val="No List"/>
    <w:uiPriority w:val="99"/>
    <w:semiHidden/>
    <w:unhideWhenUsed/>
  </w:style>
  <w:style w:type="paragraph" w:styleId="596" w:default="1">
    <w:name w:val="Normal"/>
    <w:qFormat/>
  </w:style>
  <w:style w:type="table" w:styleId="5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2025-06-02T06:39:32Z</dcterms:modified>
</cp:coreProperties>
</file>